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6828" w:rsidTr="009C14BE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9F6828" w:rsidRDefault="009F6828" w:rsidP="009F6828">
            <w:pPr>
              <w:spacing w:before="240"/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uk-UA"/>
              </w:rPr>
              <w:t>Наприкінці кожного року,</w:t>
            </w:r>
            <w:r>
              <w:rPr>
                <w:sz w:val="28"/>
                <w:szCs w:val="28"/>
                <w:lang w:val="uk-UA"/>
              </w:rPr>
              <w:t xml:space="preserve"> 21 грудня, працівники Пенсійн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ого </w:t>
            </w:r>
            <w:r>
              <w:rPr>
                <w:sz w:val="28"/>
                <w:szCs w:val="28"/>
                <w:lang w:val="uk-UA"/>
              </w:rPr>
              <w:t xml:space="preserve">фонду України відзначають </w:t>
            </w:r>
            <w:r>
              <w:rPr>
                <w:color w:val="000000"/>
                <w:sz w:val="28"/>
                <w:szCs w:val="28"/>
                <w:lang w:val="uk-UA"/>
              </w:rPr>
              <w:t>річницю з дня заснування Фонду</w:t>
            </w:r>
            <w:r>
              <w:rPr>
                <w:sz w:val="28"/>
                <w:szCs w:val="28"/>
                <w:lang w:val="uk-UA"/>
              </w:rPr>
              <w:t xml:space="preserve">. Цього року Пенсійному фонду України виповнюється 32 роки. </w:t>
            </w:r>
            <w:r>
              <w:rPr>
                <w:color w:val="000000"/>
                <w:sz w:val="28"/>
                <w:szCs w:val="28"/>
                <w:lang w:val="uk-UA"/>
              </w:rPr>
              <w:t>До дня свого народження людина завжди згадує рік, що минув, планує майбутнє. І для будь-якого підприємства, компанії, установи чи організації день народження — це теж привід підсумувати результати своєї роботи, налаштуватись на рік прийдешній.</w:t>
            </w:r>
          </w:p>
          <w:p w:rsidR="009F6828" w:rsidRDefault="009F6828" w:rsidP="009F6828">
            <w:pPr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ля фахівців Головного управління Пенсійного фонду України в Дніпропетровській області 2022 рік, що минає, як і для всієї країни, був тривожним, складним. В</w:t>
            </w:r>
            <w:r>
              <w:rPr>
                <w:rStyle w:val="a6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ійна внесла свої корективи в усі сфери життя, особливо вплинула на соціальну сферу - на найбільш не захищені верстви населення. Серед </w:t>
            </w:r>
            <w:r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айважливіших питань в умовах воєнного стану є забезпечення соціальних гарантій громадянам, дотримання пенсійного законодавства, легалізації заробітної плати.</w:t>
            </w:r>
          </w:p>
          <w:p w:rsidR="009F6828" w:rsidRDefault="009F6828" w:rsidP="009F68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Ми навчалися працювати в умовах війни, в умовах постійних ракетних загроз. Але Фонд довів, що попри будь-які випробування, зобов'язання перед громадянами України будуть виконані. </w:t>
            </w:r>
          </w:p>
          <w:p w:rsidR="009C14BE" w:rsidRDefault="009F6828" w:rsidP="009F6828">
            <w:pPr>
              <w:jc w:val="both"/>
              <w:rPr>
                <w:rStyle w:val="longtext"/>
                <w:sz w:val="28"/>
                <w:szCs w:val="28"/>
                <w:lang w:val="uk-UA"/>
              </w:rPr>
            </w:pPr>
            <w:r>
              <w:rPr>
                <w:rStyle w:val="longtext"/>
                <w:sz w:val="28"/>
                <w:szCs w:val="28"/>
                <w:lang w:val="uk-UA"/>
              </w:rPr>
              <w:t xml:space="preserve">   </w:t>
            </w:r>
          </w:p>
          <w:p w:rsidR="009F6828" w:rsidRDefault="009F6828" w:rsidP="009F6828">
            <w:pPr>
              <w:jc w:val="both"/>
            </w:pPr>
            <w:r>
              <w:rPr>
                <w:rStyle w:val="longtext"/>
                <w:sz w:val="28"/>
                <w:szCs w:val="28"/>
                <w:lang w:val="uk-UA"/>
              </w:rPr>
              <w:t xml:space="preserve">У Дніпропетровській області на обліку </w:t>
            </w:r>
            <w:r w:rsidRPr="009F6828">
              <w:rPr>
                <w:rStyle w:val="longtext"/>
                <w:b/>
                <w:color w:val="000000"/>
                <w:sz w:val="28"/>
                <w:szCs w:val="28"/>
                <w:lang w:val="uk-UA"/>
              </w:rPr>
              <w:t>888,5</w:t>
            </w:r>
            <w:r>
              <w:rPr>
                <w:sz w:val="28"/>
                <w:szCs w:val="28"/>
                <w:lang w:val="uk-UA"/>
              </w:rPr>
              <w:t xml:space="preserve"> тисяч </w:t>
            </w: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енсіонерів. Протягом січня — листопада проведено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25 </w:t>
            </w:r>
            <w:r>
              <w:rPr>
                <w:sz w:val="28"/>
                <w:szCs w:val="28"/>
                <w:lang w:val="uk-UA"/>
              </w:rPr>
              <w:t xml:space="preserve">масових перерахунків пенсій, призначено понад 25 тис. нових пенсійних справ. На </w:t>
            </w:r>
            <w:r w:rsidR="002E366C"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 xml:space="preserve">грудня середній розмір пенсійних виплат збільшився на 14,6% (651,8 грн) і становить </w:t>
            </w:r>
            <w:r>
              <w:rPr>
                <w:sz w:val="28"/>
                <w:szCs w:val="28"/>
                <w:lang w:val="uk-UA"/>
              </w:rPr>
              <w:br/>
              <w:t>5118,61 грн.  Серед загальної кількості пенсіонерів отримувачі</w:t>
            </w:r>
            <w:r>
              <w:rPr>
                <w:sz w:val="28"/>
                <w:szCs w:val="28"/>
                <w:lang w:val="uk-UA"/>
              </w:rPr>
              <w:t>в пенсійних виплат зі статусом «ВПО»</w:t>
            </w:r>
            <w:r>
              <w:rPr>
                <w:sz w:val="28"/>
                <w:szCs w:val="28"/>
                <w:lang w:val="uk-UA"/>
              </w:rPr>
              <w:t xml:space="preserve"> (внутрішньо переміщена особа) майже 29 тис., середній розмір пенсії яких 7016, 02 грн.</w:t>
            </w:r>
          </w:p>
          <w:p w:rsidR="009C14BE" w:rsidRDefault="009F6828" w:rsidP="009F68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9F6828" w:rsidRDefault="009F6828" w:rsidP="009F6828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Гарним показником є те, що кількість отримувачів мінімальної пенсії зменшил</w:t>
            </w:r>
            <w:r>
              <w:rPr>
                <w:sz w:val="28"/>
                <w:szCs w:val="28"/>
                <w:lang w:val="en-US"/>
              </w:rPr>
              <w:t>а</w:t>
            </w:r>
            <w:r>
              <w:rPr>
                <w:sz w:val="28"/>
                <w:szCs w:val="28"/>
                <w:lang w:val="uk-UA"/>
              </w:rPr>
              <w:t>ся з 79 тис. до 28 тис. осіб. Натомість зрос</w:t>
            </w:r>
            <w:r>
              <w:rPr>
                <w:color w:val="000000"/>
                <w:sz w:val="28"/>
                <w:szCs w:val="28"/>
                <w:lang w:val="uk-UA"/>
              </w:rPr>
              <w:t>ла</w:t>
            </w:r>
            <w:r>
              <w:rPr>
                <w:sz w:val="28"/>
                <w:szCs w:val="28"/>
                <w:lang w:val="uk-UA"/>
              </w:rPr>
              <w:t xml:space="preserve"> кількість пенсіонерів, у </w:t>
            </w:r>
            <w:r>
              <w:rPr>
                <w:color w:val="000000"/>
                <w:sz w:val="28"/>
                <w:szCs w:val="28"/>
                <w:lang w:val="uk-UA"/>
              </w:rPr>
              <w:t>яких</w:t>
            </w:r>
            <w:r>
              <w:rPr>
                <w:sz w:val="28"/>
                <w:szCs w:val="28"/>
                <w:lang w:val="uk-UA"/>
              </w:rPr>
              <w:t xml:space="preserve"> збільшився розмір пенсійної виплати. Якщо на початок року отримувачів пенсій у розмірах від 5-ти тис. грн і більше було майже 243 тис., то на 1 грудня таких вже понад 306 тис. </w:t>
            </w:r>
          </w:p>
          <w:p w:rsidR="009F6828" w:rsidRDefault="009F6828" w:rsidP="009F6828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Збільшуються розміри пенсій — збільшується потреба на їх</w:t>
            </w:r>
            <w:r w:rsidR="002E366C">
              <w:rPr>
                <w:sz w:val="28"/>
                <w:szCs w:val="28"/>
                <w:lang w:val="uk-UA"/>
              </w:rPr>
              <w:t>нє</w:t>
            </w:r>
            <w:r>
              <w:rPr>
                <w:sz w:val="28"/>
                <w:szCs w:val="28"/>
                <w:lang w:val="uk-UA"/>
              </w:rPr>
              <w:t xml:space="preserve"> фінансування. </w:t>
            </w: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а виплати січневих пенсій наша область потребувала майже </w:t>
            </w:r>
            <w:r>
              <w:rPr>
                <w:sz w:val="28"/>
                <w:szCs w:val="28"/>
                <w:shd w:val="clear" w:color="auto" w:fill="FFFF00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4,1 млрд грн, 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на грудень — понад 4,6 млрд грн.</w:t>
            </w:r>
          </w:p>
          <w:p w:rsidR="009C14BE" w:rsidRDefault="009F6828" w:rsidP="009F6828">
            <w:pPr>
              <w:jc w:val="both"/>
              <w:rPr>
                <w:rStyle w:val="longtext"/>
                <w:sz w:val="28"/>
                <w:szCs w:val="28"/>
                <w:lang w:val="uk-UA"/>
              </w:rPr>
            </w:pPr>
            <w:r>
              <w:rPr>
                <w:rStyle w:val="longtext"/>
                <w:sz w:val="28"/>
                <w:szCs w:val="28"/>
                <w:lang w:val="uk-UA"/>
              </w:rPr>
              <w:t xml:space="preserve">  </w:t>
            </w:r>
          </w:p>
          <w:p w:rsidR="009F6828" w:rsidRDefault="009F6828" w:rsidP="009F6828">
            <w:pPr>
              <w:jc w:val="both"/>
            </w:pPr>
            <w:r>
              <w:rPr>
                <w:rStyle w:val="longtext"/>
                <w:sz w:val="28"/>
                <w:szCs w:val="28"/>
                <w:lang w:val="uk-UA"/>
              </w:rPr>
              <w:t xml:space="preserve"> </w:t>
            </w:r>
            <w:r>
              <w:rPr>
                <w:rStyle w:val="longtext"/>
                <w:sz w:val="28"/>
                <w:szCs w:val="28"/>
                <w:lang w:val="uk-UA"/>
              </w:rPr>
              <w:t>У нашій області понад 87% пенсіонерів отримують пенсійні виплати через банківські установи. Завдяки безкоштовному обслуговуванню поточних рахунків пенсіонерів у банках, а їх вже 7</w:t>
            </w:r>
            <w:r>
              <w:rPr>
                <w:rStyle w:val="longtext"/>
                <w:color w:val="000000"/>
                <w:sz w:val="28"/>
                <w:szCs w:val="28"/>
                <w:lang w:val="uk-UA"/>
              </w:rPr>
              <w:t>77,3</w:t>
            </w:r>
            <w:r>
              <w:rPr>
                <w:rStyle w:val="longtext"/>
                <w:sz w:val="28"/>
                <w:szCs w:val="28"/>
                <w:lang w:val="uk-UA"/>
              </w:rPr>
              <w:t xml:space="preserve"> тис. осіб, вдалос</w:t>
            </w:r>
            <w:r>
              <w:rPr>
                <w:rStyle w:val="longtext"/>
                <w:color w:val="000000"/>
                <w:sz w:val="28"/>
                <w:szCs w:val="28"/>
                <w:lang w:val="uk-UA"/>
              </w:rPr>
              <w:t>я</w:t>
            </w:r>
            <w:r>
              <w:rPr>
                <w:rStyle w:val="longtext"/>
                <w:sz w:val="28"/>
                <w:szCs w:val="28"/>
                <w:lang w:val="uk-UA"/>
              </w:rPr>
              <w:t xml:space="preserve"> </w:t>
            </w:r>
            <w:r>
              <w:rPr>
                <w:rStyle w:val="longtext"/>
                <w:color w:val="000000"/>
                <w:sz w:val="28"/>
                <w:szCs w:val="28"/>
                <w:lang w:val="uk-UA"/>
              </w:rPr>
              <w:t>заощадити</w:t>
            </w:r>
            <w:r>
              <w:rPr>
                <w:rStyle w:val="longtext"/>
                <w:sz w:val="28"/>
                <w:szCs w:val="28"/>
                <w:lang w:val="uk-UA"/>
              </w:rPr>
              <w:t xml:space="preserve"> </w:t>
            </w:r>
            <w:r>
              <w:rPr>
                <w:rStyle w:val="longtext"/>
                <w:sz w:val="28"/>
                <w:szCs w:val="28"/>
                <w:lang w:val="uk-UA"/>
              </w:rPr>
              <w:br/>
              <w:t xml:space="preserve">720,8 млн грн, </w:t>
            </w:r>
            <w:r>
              <w:rPr>
                <w:rStyle w:val="longtext"/>
                <w:color w:val="000000"/>
                <w:sz w:val="28"/>
                <w:szCs w:val="28"/>
                <w:lang w:val="uk-UA"/>
              </w:rPr>
              <w:t>що на 124,3 млн грн більше, ніж торік.</w:t>
            </w:r>
          </w:p>
          <w:p w:rsidR="009F6828" w:rsidRDefault="009F6828" w:rsidP="009F6828">
            <w:pPr>
              <w:jc w:val="both"/>
            </w:pPr>
            <w:r>
              <w:rPr>
                <w:rStyle w:val="longtext"/>
                <w:sz w:val="28"/>
                <w:szCs w:val="28"/>
                <w:lang w:val="uk-UA"/>
              </w:rPr>
              <w:t xml:space="preserve">   </w:t>
            </w:r>
            <w:r>
              <w:rPr>
                <w:rStyle w:val="longtext"/>
                <w:sz w:val="28"/>
                <w:szCs w:val="28"/>
                <w:lang w:val="uk-UA"/>
              </w:rPr>
              <w:t>Протягом поточного року ми досягли певних результатів і з наповнення бюджету Фонду. Власних коштів, які адмініструє Пенсійний фонд, отримали 1,1 млрд грн.</w:t>
            </w:r>
            <w:r>
              <w:rPr>
                <w:rStyle w:val="longtext"/>
                <w:sz w:val="28"/>
                <w:szCs w:val="28"/>
                <w:lang w:val="uk-UA"/>
              </w:rPr>
              <w:t xml:space="preserve"> </w:t>
            </w:r>
            <w:r w:rsidR="002E366C">
              <w:rPr>
                <w:rStyle w:val="longtext"/>
                <w:sz w:val="28"/>
                <w:szCs w:val="28"/>
                <w:lang w:val="uk-UA"/>
              </w:rPr>
              <w:t xml:space="preserve">      </w:t>
            </w:r>
          </w:p>
          <w:p w:rsidR="009C14BE" w:rsidRDefault="009F6828" w:rsidP="009F68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9F6828" w:rsidRDefault="009F6828" w:rsidP="009F6828">
            <w:pPr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Особливу увагу приділяли захисту тих, хто працюють, хто робить усе, щоб економіка України витримала воєнний стан. Наріжним каменем в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інформуванні населення області була тема щодо легалізації трудових відносин, сплати ЄСВ. Хвилювала </w:t>
            </w:r>
            <w:r>
              <w:rPr>
                <w:color w:val="000000"/>
                <w:sz w:val="28"/>
                <w:szCs w:val="28"/>
                <w:lang w:val="uk-UA"/>
              </w:rPr>
              <w:t>й тема виплати заробітних плат «у конвертах»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заниження розмірів зарплат — коли на підприємстві у керівника зарплата нижче за мінімальну, а це було своєрідним сигналом про приховування доходів та уникнення сплати ЄСВ. </w:t>
            </w:r>
          </w:p>
          <w:p w:rsidR="009C14BE" w:rsidRDefault="009F6828" w:rsidP="009F68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9F6828" w:rsidRDefault="009C14BE" w:rsidP="009F6828">
            <w:pPr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2E366C">
              <w:rPr>
                <w:color w:val="000000"/>
                <w:sz w:val="28"/>
                <w:szCs w:val="28"/>
                <w:lang w:val="uk-UA"/>
              </w:rPr>
              <w:t xml:space="preserve">Ми зустрічалися </w:t>
            </w:r>
            <w:r w:rsidR="009F6828">
              <w:rPr>
                <w:color w:val="000000"/>
                <w:sz w:val="28"/>
                <w:szCs w:val="28"/>
                <w:lang w:val="uk-UA"/>
              </w:rPr>
              <w:t xml:space="preserve">з суб’єктами господарювання на комісіях з питань легалізації виплати зарплати та зайнятості населення, проводили наради із соціальними партнерами, </w:t>
            </w:r>
            <w:r w:rsidR="009F6828">
              <w:rPr>
                <w:color w:val="000000"/>
                <w:sz w:val="28"/>
                <w:szCs w:val="28"/>
                <w:lang w:val="uk-UA" w:eastAsia="ar-SA"/>
              </w:rPr>
              <w:t>зустрічалися з трудовими колективами за участю профспілкових організацій. Проводили флеш-</w:t>
            </w:r>
            <w:proofErr w:type="spellStart"/>
            <w:r w:rsidR="009F6828">
              <w:rPr>
                <w:color w:val="000000"/>
                <w:sz w:val="28"/>
                <w:szCs w:val="28"/>
                <w:lang w:val="uk-UA" w:eastAsia="ar-SA"/>
              </w:rPr>
              <w:t>моби</w:t>
            </w:r>
            <w:proofErr w:type="spellEnd"/>
            <w:r w:rsidR="009F6828">
              <w:rPr>
                <w:color w:val="000000"/>
                <w:sz w:val="28"/>
                <w:szCs w:val="28"/>
                <w:lang w:val="uk-UA" w:eastAsia="ar-SA"/>
              </w:rPr>
              <w:t>, семінари із роботодавцями.</w:t>
            </w:r>
          </w:p>
          <w:p w:rsidR="009F6828" w:rsidRDefault="009F6828" w:rsidP="009F6828">
            <w:pPr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Робота наших фахівців разом з соціальними партнерами та контролюючими органами не була марною.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Протягом  поточного року завдяки спільної роботи</w:t>
            </w:r>
            <w:r>
              <w:rPr>
                <w:i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 xml:space="preserve">Фонду області з Головним управлінням Держпраці та Головним управлінням Державної </w:t>
            </w:r>
            <w:r>
              <w:rPr>
                <w:color w:val="000000"/>
                <w:sz w:val="28"/>
                <w:szCs w:val="28"/>
                <w:lang w:val="en-US" w:eastAsia="ar-SA"/>
              </w:rPr>
              <w:t>п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 xml:space="preserve">одаткової служби вдалося легалізувати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br/>
              <w:t>548 робочих місць</w:t>
            </w:r>
            <w:r>
              <w:rPr>
                <w:i/>
                <w:color w:val="000000"/>
                <w:sz w:val="28"/>
                <w:szCs w:val="28"/>
                <w:lang w:val="uk-UA" w:eastAsia="ar-S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у результаті чого</w:t>
            </w:r>
            <w:r>
              <w:rPr>
                <w:i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 xml:space="preserve">єдиного внеску надійшло майже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br/>
              <w:t>783,6 тис. грн</w:t>
            </w:r>
            <w:r>
              <w:rPr>
                <w:i/>
                <w:color w:val="000000"/>
                <w:sz w:val="28"/>
                <w:szCs w:val="28"/>
                <w:lang w:val="uk-UA" w:eastAsia="ar-SA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А з</w:t>
            </w:r>
            <w:r>
              <w:rPr>
                <w:rStyle w:val="longtext"/>
                <w:color w:val="000000"/>
                <w:sz w:val="28"/>
                <w:szCs w:val="28"/>
                <w:lang w:val="uk-UA" w:eastAsia="ar-SA"/>
              </w:rPr>
              <w:t xml:space="preserve">авдяки погашенню боргів з єдиного внеску зараховано від </w:t>
            </w:r>
            <w:r>
              <w:rPr>
                <w:rStyle w:val="longtext"/>
                <w:color w:val="000000"/>
                <w:sz w:val="28"/>
                <w:szCs w:val="28"/>
                <w:lang w:val="uk-UA" w:eastAsia="ar-SA"/>
              </w:rPr>
              <w:br/>
              <w:t>1 до 24 місяців страхового стажу 7,2 тис. осіб.</w:t>
            </w:r>
            <w:r>
              <w:rPr>
                <w:rStyle w:val="longtext"/>
                <w:color w:val="000000"/>
                <w:sz w:val="28"/>
                <w:szCs w:val="28"/>
                <w:lang w:val="uk-UA" w:eastAsia="ar-SA"/>
              </w:rPr>
              <w:t xml:space="preserve"> </w:t>
            </w:r>
          </w:p>
          <w:p w:rsidR="009C14BE" w:rsidRDefault="009F6828" w:rsidP="009F68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9F6828" w:rsidRDefault="009C14BE" w:rsidP="009F6828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9F6828">
              <w:rPr>
                <w:sz w:val="28"/>
                <w:szCs w:val="28"/>
                <w:lang w:val="uk-UA"/>
              </w:rPr>
              <w:t>Попри</w:t>
            </w:r>
            <w:r w:rsidR="009F6828">
              <w:rPr>
                <w:sz w:val="28"/>
                <w:szCs w:val="28"/>
                <w:lang w:val="uk-UA"/>
              </w:rPr>
              <w:t xml:space="preserve"> воєнний стан прийом та обслуговування мешканців області спеціалісти </w:t>
            </w:r>
            <w:r w:rsidR="002E366C">
              <w:rPr>
                <w:sz w:val="28"/>
                <w:szCs w:val="28"/>
                <w:lang w:val="uk-UA"/>
              </w:rPr>
              <w:t>Фонду області здійснювали в 42-х</w:t>
            </w:r>
            <w:r w:rsidR="009F6828">
              <w:rPr>
                <w:sz w:val="28"/>
                <w:szCs w:val="28"/>
                <w:lang w:val="uk-UA"/>
              </w:rPr>
              <w:t xml:space="preserve"> </w:t>
            </w:r>
            <w:r w:rsidR="009F6828">
              <w:rPr>
                <w:color w:val="000000"/>
                <w:sz w:val="28"/>
                <w:szCs w:val="28"/>
                <w:lang w:val="uk-UA"/>
              </w:rPr>
              <w:t xml:space="preserve">облаштованих сучасних приміщеннях </w:t>
            </w:r>
            <w:r w:rsidR="009F6828">
              <w:rPr>
                <w:sz w:val="28"/>
                <w:szCs w:val="28"/>
                <w:lang w:val="uk-UA"/>
              </w:rPr>
              <w:t>27 сервісних центр</w:t>
            </w:r>
            <w:r w:rsidR="009F6828">
              <w:rPr>
                <w:color w:val="000000"/>
                <w:sz w:val="28"/>
                <w:szCs w:val="28"/>
                <w:lang w:val="uk-UA"/>
              </w:rPr>
              <w:t>ів</w:t>
            </w:r>
            <w:r w:rsidR="009F6828">
              <w:rPr>
                <w:sz w:val="28"/>
                <w:szCs w:val="28"/>
                <w:lang w:val="uk-UA"/>
              </w:rPr>
              <w:t xml:space="preserve"> та на </w:t>
            </w:r>
            <w:r w:rsidR="009F6828">
              <w:rPr>
                <w:color w:val="000000"/>
                <w:sz w:val="28"/>
                <w:szCs w:val="28"/>
                <w:lang w:val="uk-UA"/>
              </w:rPr>
              <w:t>34</w:t>
            </w:r>
            <w:r w:rsidR="009F6828">
              <w:rPr>
                <w:sz w:val="28"/>
                <w:szCs w:val="28"/>
                <w:lang w:val="uk-UA"/>
              </w:rPr>
              <w:t xml:space="preserve"> віддалених робочих місцях у 28 територіальних громадах. П</w:t>
            </w:r>
            <w:r w:rsidR="009F6828">
              <w:rPr>
                <w:color w:val="000000"/>
                <w:sz w:val="28"/>
                <w:szCs w:val="28"/>
                <w:lang w:val="uk-UA"/>
              </w:rPr>
              <w:t>ослуги від Фонду  надавались у повному обсязі. До сервісних центрів звернулось майже 675</w:t>
            </w:r>
            <w:r w:rsidR="009F6828">
              <w:rPr>
                <w:color w:val="000000"/>
                <w:sz w:val="28"/>
                <w:szCs w:val="28"/>
                <w:lang w:val="uk-UA"/>
              </w:rPr>
              <w:t xml:space="preserve"> тис. осіб, серед них: 44 тис. </w:t>
            </w:r>
            <w:r w:rsidR="009F6828">
              <w:rPr>
                <w:color w:val="000000"/>
                <w:sz w:val="28"/>
                <w:szCs w:val="28"/>
                <w:lang w:val="uk-UA"/>
              </w:rPr>
              <w:t>— це мешканці областей, де ведуться активні бойові дії або частково окуповані. Надано 955 тис. послуг.</w:t>
            </w:r>
          </w:p>
          <w:p w:rsidR="009F6828" w:rsidRDefault="009F6828" w:rsidP="009F68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uk-UA"/>
              </w:rPr>
              <w:t>Повсякчас збільшується важливість Реєстру застрахованих осіб. Інформація з Ре</w:t>
            </w:r>
            <w:r w:rsidR="002E366C">
              <w:rPr>
                <w:color w:val="000000"/>
                <w:sz w:val="28"/>
                <w:szCs w:val="28"/>
                <w:lang w:val="uk-UA"/>
              </w:rPr>
              <w:t>єстру використовується не лише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для призначення пенсій, але й для інших соціальних виплат, а саме: при призначені субсидій, допомоги по втраті працездатності, при розрахунку лікарняних, виплат по безробіттю тощо.  </w:t>
            </w:r>
          </w:p>
          <w:p w:rsidR="009C14BE" w:rsidRDefault="009F6828" w:rsidP="009F68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9F6828" w:rsidRDefault="009F6828" w:rsidP="009F6828">
            <w:pPr>
              <w:jc w:val="both"/>
            </w:pPr>
            <w:r>
              <w:rPr>
                <w:sz w:val="28"/>
                <w:szCs w:val="28"/>
                <w:lang w:val="uk-UA"/>
              </w:rPr>
              <w:t>Пенсійний фонд України постійно тримає курс на прогрес. І</w:t>
            </w:r>
            <w:r w:rsidR="002E366C">
              <w:rPr>
                <w:sz w:val="28"/>
                <w:szCs w:val="28"/>
                <w:lang w:val="uk-UA"/>
              </w:rPr>
              <w:t xml:space="preserve"> воєнний стан тільки підтвердив </w:t>
            </w:r>
            <w:r w:rsidR="002E366C">
              <w:rPr>
                <w:color w:val="000000"/>
                <w:sz w:val="28"/>
                <w:szCs w:val="28"/>
                <w:lang w:val="uk-UA"/>
              </w:rPr>
              <w:t>—</w:t>
            </w:r>
            <w:r w:rsidR="002E366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цей курс правильний. Завдяки електронним сервісам,  які спрямовані на з</w:t>
            </w:r>
            <w:r>
              <w:rPr>
                <w:sz w:val="28"/>
                <w:szCs w:val="28"/>
                <w:lang w:val="uk-UA"/>
              </w:rPr>
              <w:t xml:space="preserve">ручність тим, хто зараз працює </w:t>
            </w:r>
            <w:r>
              <w:rPr>
                <w:color w:val="000000"/>
                <w:sz w:val="28"/>
                <w:szCs w:val="28"/>
                <w:lang w:val="uk-UA"/>
              </w:rPr>
              <w:t>—</w:t>
            </w:r>
            <w:r>
              <w:rPr>
                <w:sz w:val="28"/>
                <w:szCs w:val="28"/>
                <w:lang w:val="uk-UA"/>
              </w:rPr>
              <w:t xml:space="preserve"> майбутнім пенсіонерам і роботодавцям, збережені дані про страховий стаж, дані пенсійних справ мільйонів людей. Тільки за 11 місяців поточного року Фондом області </w:t>
            </w:r>
            <w:proofErr w:type="spellStart"/>
            <w:r>
              <w:rPr>
                <w:sz w:val="28"/>
                <w:szCs w:val="28"/>
                <w:lang w:val="uk-UA"/>
              </w:rPr>
              <w:t>оцифрован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</w:t>
            </w:r>
            <w:proofErr w:type="spellStart"/>
            <w:r>
              <w:rPr>
                <w:sz w:val="28"/>
                <w:szCs w:val="28"/>
                <w:lang w:val="uk-UA"/>
              </w:rPr>
              <w:t>айже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213 тис. </w:t>
            </w: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аперових трудових книж</w:t>
            </w:r>
            <w:r>
              <w:rPr>
                <w:sz w:val="28"/>
                <w:szCs w:val="28"/>
                <w:lang w:val="uk-UA"/>
              </w:rPr>
              <w:t>ок.  Завдяки такому ресурсу як «автоматичне призначення пенсії»</w:t>
            </w:r>
            <w:r>
              <w:rPr>
                <w:sz w:val="28"/>
                <w:szCs w:val="28"/>
                <w:lang w:val="uk-UA"/>
              </w:rPr>
              <w:t xml:space="preserve">, не звертаючись особисто до сервісних центрів Фонду, </w:t>
            </w:r>
            <w:r>
              <w:rPr>
                <w:sz w:val="28"/>
                <w:szCs w:val="28"/>
                <w:lang w:val="en-US"/>
              </w:rPr>
              <w:t>1,</w:t>
            </w:r>
            <w:r>
              <w:rPr>
                <w:sz w:val="28"/>
                <w:szCs w:val="28"/>
                <w:lang w:val="uk-UA"/>
              </w:rPr>
              <w:t xml:space="preserve">5 тис. осіб автоматично отримали призначення пенсії </w:t>
            </w: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>
              <w:rPr>
                <w:color w:val="000000"/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досягнення пенсійного віку.</w:t>
            </w:r>
          </w:p>
          <w:p w:rsidR="009F6828" w:rsidRDefault="009F6828" w:rsidP="009F6828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Відповідаючи вимогам сучасності Фонд області активно працював над переведенням паперових пенсійних справ мину</w:t>
            </w:r>
            <w:r>
              <w:rPr>
                <w:sz w:val="28"/>
                <w:szCs w:val="28"/>
                <w:lang w:val="uk-UA"/>
              </w:rPr>
              <w:t xml:space="preserve">лих років в електронний вигляд </w:t>
            </w:r>
            <w:r>
              <w:rPr>
                <w:color w:val="000000"/>
                <w:sz w:val="28"/>
                <w:szCs w:val="28"/>
                <w:lang w:val="uk-UA"/>
              </w:rPr>
              <w:t>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оцифровані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понад  465 тис. справ.</w:t>
            </w:r>
          </w:p>
          <w:p w:rsidR="009C14BE" w:rsidRDefault="009F6828" w:rsidP="009F68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9F6828" w:rsidRDefault="009C14BE" w:rsidP="009F6828">
            <w:pPr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  </w:t>
            </w:r>
            <w:r w:rsidR="009F6828">
              <w:rPr>
                <w:color w:val="000000"/>
                <w:sz w:val="28"/>
                <w:szCs w:val="28"/>
                <w:lang w:val="uk-UA"/>
              </w:rPr>
              <w:t>Найголовніше завдання — своєчасно та в повному обсязі фінансувати пенсійні виплати — ми виконали, жодного разу не було порушення термінів графіка фінансування. Особливо тримали під контролем цільове використання коштів установами, закладами, які здійснюють виплату та доставку пенсій.</w:t>
            </w:r>
          </w:p>
          <w:p w:rsidR="009C14BE" w:rsidRDefault="009F6828" w:rsidP="009F68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9F6828" w:rsidRDefault="009C14BE" w:rsidP="009F68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9F6828">
              <w:rPr>
                <w:color w:val="000000"/>
                <w:sz w:val="28"/>
                <w:szCs w:val="28"/>
                <w:lang w:val="uk-UA"/>
              </w:rPr>
              <w:t xml:space="preserve">Кінець року, що минає, для Фонду багатий на зміни. Ми постійно удосконалюємо свої знання та набуваємо нових. Так, </w:t>
            </w:r>
            <w:r w:rsidR="002E366C">
              <w:rPr>
                <w:color w:val="000000"/>
                <w:sz w:val="28"/>
                <w:szCs w:val="28"/>
                <w:lang w:val="uk-UA"/>
              </w:rPr>
              <w:t>і</w:t>
            </w:r>
            <w:r w:rsidR="009F6828">
              <w:rPr>
                <w:color w:val="000000"/>
                <w:sz w:val="28"/>
                <w:szCs w:val="28"/>
                <w:lang w:val="uk-UA"/>
              </w:rPr>
              <w:t>з жовтня, за рішенням Уряду, почали переймати адміністрування житлових субсидій та пільг на оплату комунальних послуг. Успішно пройшли перший етап — фінансування, а з 1 грудня розпочали вже повний цикл: від прийняття документів до виплати. Оскільки Пенсійний фонд працює за</w:t>
            </w:r>
            <w:r w:rsidR="009F6828">
              <w:rPr>
                <w:color w:val="000000"/>
                <w:sz w:val="28"/>
                <w:szCs w:val="28"/>
                <w:lang w:val="uk-UA"/>
              </w:rPr>
              <w:t xml:space="preserve"> принципом екстериторіальності </w:t>
            </w:r>
            <w:r w:rsidR="009F6828">
              <w:rPr>
                <w:color w:val="000000"/>
                <w:sz w:val="28"/>
                <w:szCs w:val="28"/>
                <w:lang w:val="uk-UA"/>
              </w:rPr>
              <w:t>— надання послуг, незалежно від місця проживання, то й послуги щодо житлових субсидій та пільг відбуваються за таким же принципом.</w:t>
            </w:r>
          </w:p>
          <w:p w:rsidR="009C14BE" w:rsidRDefault="009F6828" w:rsidP="009F68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9F6828" w:rsidRDefault="009C14BE" w:rsidP="009F6828">
            <w:pPr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9F6828">
              <w:rPr>
                <w:color w:val="000000"/>
                <w:sz w:val="28"/>
                <w:szCs w:val="28"/>
                <w:lang w:val="uk-UA"/>
              </w:rPr>
              <w:t xml:space="preserve">Роботи зроблено багато </w:t>
            </w:r>
            <w:r w:rsidR="009F6828">
              <w:rPr>
                <w:color w:val="000000"/>
                <w:sz w:val="28"/>
                <w:szCs w:val="28"/>
                <w:lang w:val="uk-UA"/>
              </w:rPr>
              <w:t>— ще більше попереду. З</w:t>
            </w:r>
            <w:r w:rsidR="009F6828">
              <w:rPr>
                <w:color w:val="000000"/>
                <w:sz w:val="28"/>
                <w:szCs w:val="28"/>
                <w:lang w:val="uk-UA" w:eastAsia="ru-RU"/>
              </w:rPr>
              <w:t xml:space="preserve"> 1 січня 2023 року почнемо виконувати ще і функції соціального страхування у зв'язку із тимчасовою втратою працездатності, від нещасного випадку на виробництві та професійного захворювання. </w:t>
            </w:r>
          </w:p>
          <w:p w:rsidR="009C14BE" w:rsidRPr="009C14BE" w:rsidRDefault="009C14BE" w:rsidP="009F68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9F6828" w:rsidRDefault="009F6828" w:rsidP="009F6828">
            <w:pPr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Команда Фонду області </w:t>
            </w:r>
            <w:r>
              <w:rPr>
                <w:color w:val="000000"/>
                <w:sz w:val="28"/>
                <w:szCs w:val="28"/>
                <w:lang w:val="uk-UA"/>
              </w:rPr>
              <w:t>— професійна та злагоджена з високим почуттям громадянського обов'язку.  Сьогодні на захист України з Головного управління мобілізовано 14 фахівців та 2 служать за контрактом. Цього року День заснування Пенсійного фонду вони зустрічатимуть на бойовому посту. А колектив Фонду щодня вносить свій вклад у наближення Перемоги України, це: перерахування захисникам України Обласною профспілкою разом з її первинними організаціями фінансової допомоги на суму у понад 810 тис. грн,  особисті донати на закупівлю зброї, технічного спорядження, військової екіпіровки. Ми активно беремо участь у волонтерському русі, навчилися шити складові військового одягу, плести маскувальні сітки. Сьогодні для наших бійців заготовляємо матеріал для окопних свічок, готуємо та доставляємо їжу.</w:t>
            </w:r>
          </w:p>
          <w:p w:rsidR="009F6828" w:rsidRDefault="009F6828" w:rsidP="009F68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uk-UA"/>
              </w:rPr>
              <w:t>Земний уклін батькам захисників України, хто чекає на своїх дітей з вірою, що все буде добре. Є й серед наших колег такі мами та тата, які що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дня хвилюються за своїх дітей, </w:t>
            </w:r>
            <w:r>
              <w:rPr>
                <w:color w:val="000000"/>
                <w:sz w:val="28"/>
                <w:szCs w:val="28"/>
                <w:lang w:val="uk-UA"/>
              </w:rPr>
              <w:t>— витримки їм.</w:t>
            </w:r>
          </w:p>
          <w:p w:rsidR="009F6828" w:rsidRPr="009F6828" w:rsidRDefault="009F6828" w:rsidP="009F68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uk-UA"/>
              </w:rPr>
              <w:t>Віримо в Україну, віримо в ЗСУ!  Ми працюємо й працюватимемо заради громадян України.</w:t>
            </w:r>
          </w:p>
        </w:tc>
      </w:tr>
    </w:tbl>
    <w:p w:rsidR="00F742A4" w:rsidRDefault="00F742A4" w:rsidP="009F6828">
      <w:pPr>
        <w:jc w:val="both"/>
        <w:rPr>
          <w:sz w:val="28"/>
          <w:szCs w:val="28"/>
          <w:lang w:val="uk-UA"/>
        </w:rPr>
      </w:pPr>
    </w:p>
    <w:sectPr w:rsidR="00F742A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5508"/>
    <w:multiLevelType w:val="multilevel"/>
    <w:tmpl w:val="C47A1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A4"/>
    <w:rsid w:val="002E366C"/>
    <w:rsid w:val="004B73F6"/>
    <w:rsid w:val="009C14BE"/>
    <w:rsid w:val="009F6828"/>
    <w:rsid w:val="00F7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1902"/>
  <w15:docId w15:val="{AC58665E-296C-4468-A353-71777C19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bidi="ar-SA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5">
    <w:name w:val="Основной шрифт абзаца"/>
    <w:qFormat/>
  </w:style>
  <w:style w:type="character" w:customStyle="1" w:styleId="longtext">
    <w:name w:val="long_text"/>
    <w:basedOn w:val="a5"/>
    <w:qFormat/>
  </w:style>
  <w:style w:type="character" w:customStyle="1" w:styleId="a6">
    <w:name w:val="Виділення жирни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Указатель"/>
    <w:basedOn w:val="a"/>
    <w:qFormat/>
    <w:pPr>
      <w:suppressLineNumbers/>
    </w:pPr>
    <w:rPr>
      <w:rFonts w:cs="Lucida Sans"/>
    </w:rPr>
  </w:style>
  <w:style w:type="paragraph" w:customStyle="1" w:styleId="111">
    <w:name w:val="Знак Знак1 Знак Знак Знак Знак Знак Знак Знак Знак Знак Знак Знак Знак Знак Знак Знак Знак Знак Знак Знак1 Знак Знак Знак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numbering" w:customStyle="1" w:styleId="WW8Num1">
    <w:name w:val="WW8Num1"/>
    <w:qFormat/>
  </w:style>
  <w:style w:type="table" w:styleId="ac">
    <w:name w:val="Table Grid"/>
    <w:basedOn w:val="a3"/>
    <w:uiPriority w:val="39"/>
    <w:rsid w:val="009F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893</Words>
  <Characters>6504</Characters>
  <Application>Microsoft Office Word</Application>
  <DocSecurity>0</DocSecurity>
  <Lines>191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Підсумок минулого - це старт у майбутнє</vt:lpstr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Підсумок минулого - це старт у майбутнє</dc:title>
  <dc:subject/>
  <dc:creator>Pustovaya</dc:creator>
  <dc:description/>
  <cp:lastModifiedBy>Соломко Марина Олегівна</cp:lastModifiedBy>
  <cp:revision>88</cp:revision>
  <cp:lastPrinted>2022-12-09T15:24:00Z</cp:lastPrinted>
  <dcterms:created xsi:type="dcterms:W3CDTF">2015-01-30T08:08:00Z</dcterms:created>
  <dcterms:modified xsi:type="dcterms:W3CDTF">2022-12-19T11:59:00Z</dcterms:modified>
  <dc:language>uk-UA</dc:language>
</cp:coreProperties>
</file>